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80"/>
      </w:pPr>
      <w:r>
        <w:rPr>
          <w:b/>
          <w:sz w:val="32"/>
        </w:rPr>
        <w:t xml:space="preserve">Όροι Χρήσης</w:t>
      </w:r>
    </w:p>
    <w:p>
      <w:pPr>
        <w:spacing w:after="240"/>
      </w:pPr>
      <w:r>
        <w:rPr>
          <w:b/>
          <w:sz w:val="24"/>
        </w:rPr>
        <w:t xml:space="preserve">Human Praxis Portal</w:t>
      </w:r>
    </w:p>
    <w:p>
      <w:pPr>
        <w:spacing w:after="120"/>
      </w:pPr>
      <w:r>
        <w:rPr>
          <w:sz w:val="18"/>
        </w:rPr>
        <w:t xml:space="preserve">Έκδοση: v3 — Ημερομηνία τελευταίας ενημέρωσης: 03/06/2026</w:t>
      </w:r>
    </w:p>
    <w:p>
      <w:pPr>
        <w:spacing w:after="80"/>
      </w:pPr>
      <w:r>
        <w:rPr>
          <w:b/>
          <w:sz w:val="24"/>
        </w:rPr>
        <w:t xml:space="preserve">1. Αποδοχή των Όρων</w:t>
      </w:r>
    </w:p>
    <w:p>
      <w:pPr>
        <w:spacing w:after="120"/>
      </w:pPr>
      <w:r>
        <w:t xml:space="preserve">Η πρόσβαση και χρήση της εφαρμογής Human Praxis Portal συνεπάγεται την αποδοχή των παρόντων όρων. Η εφαρμογή προορίζεται αποκλειστικά για χρήση από εξουσιοδοτημένους χρήστες της HUMAN PRAXIS E.E., όπως εργαζόμενους, συνεργάτες ή λοιπό προσωπικό στο οποίο έχει δοθεί πρόσβαση.</w:t>
      </w:r>
    </w:p>
    <w:p>
      <w:pPr>
        <w:spacing w:after="120"/>
      </w:pPr>
      <w:r>
        <w:t xml:space="preserve">Εάν ο χρήστης δεν συμφωνεί με τους παρόντες όρους, δεν πρέπει να χρησιμοποιεί την εφαρμογή και οφείλει να ενημερώσει την εταιρία ή τον αρμόδιο υπεύθυνο.</w:t>
      </w:r>
    </w:p>
    <w:p>
      <w:pPr>
        <w:spacing w:after="80"/>
      </w:pPr>
      <w:r>
        <w:rPr>
          <w:b/>
          <w:sz w:val="24"/>
        </w:rPr>
        <w:t xml:space="preserve">2. Σκοπός της Εφαρμογής</w:t>
      </w:r>
    </w:p>
    <w:p>
      <w:pPr>
        <w:spacing w:after="120"/>
      </w:pPr>
      <w:r>
        <w:t xml:space="preserve">Το Human Praxis Portal χρησιμοποιείται για την υποστήριξη εσωτερικών διαδικασιών της εταιρίας, όπως ενδεικτικά η διαχείριση αιτημάτων, η ενημέρωση προσωπικού, η καταγραφή παρουσιών/ωραρίου μέσω WorkPass και η πρόσβαση σε υπηρεσίες ή φόρμες που αφορούν την εργασιακή ή συνεργατική σχέση με την εταιρία.</w:t>
      </w:r>
    </w:p>
    <w:p>
      <w:pPr>
        <w:spacing w:after="120"/>
      </w:pPr>
      <w:r>
        <w:t xml:space="preserve">Η εφαρμογή δεν αποτελεί δημόσια υπηρεσία, πλατφόρμα κοινωνικής δικτύωσης ή γενικό μέσο αποθήκευσης προσωπικών αρχείων.</w:t>
      </w:r>
    </w:p>
    <w:p>
      <w:pPr>
        <w:spacing w:after="80"/>
      </w:pPr>
      <w:r>
        <w:rPr>
          <w:b/>
          <w:sz w:val="24"/>
        </w:rPr>
        <w:t xml:space="preserve">3. Λογαριασμοί και Πρόσβαση</w:t>
      </w:r>
    </w:p>
    <w:p>
      <w:pPr>
        <w:spacing w:after="60"/>
      </w:pPr>
      <w:r>
        <w:t xml:space="preserve">• Ο κάθε χρήστης είναι υπεύθυνος για την εμπιστευτικότητα των στοιχείων σύνδεσής του.</w:t>
      </w:r>
    </w:p>
    <w:p>
      <w:pPr>
        <w:spacing w:after="60"/>
      </w:pPr>
      <w:r>
        <w:t xml:space="preserve">• Απαγορεύεται η κοινοποίηση κωδικών πρόσβασης ή συνδέσμων πρόσβασης σε τρίτους.</w:t>
      </w:r>
    </w:p>
    <w:p>
      <w:pPr>
        <w:spacing w:after="60"/>
      </w:pPr>
      <w:r>
        <w:t xml:space="preserve">• Η πρόσβαση παρέχεται ανάλογα με τον ρόλο και τις αρμοδιότητες του χρήστη.</w:t>
      </w:r>
    </w:p>
    <w:p>
      <w:pPr>
        <w:spacing w:after="60"/>
      </w:pPr>
      <w:r>
        <w:t xml:space="preserve">• Ο χρήστης οφείλει να ενημερώνει άμεσα την εταιρία σε περίπτωση υποψίας μη εξουσιοδοτημένης πρόσβασης ή απώλειας συσκευής.</w:t>
      </w:r>
    </w:p>
    <w:p>
      <w:pPr>
        <w:spacing w:after="60"/>
      </w:pPr>
      <w:r>
        <w:t xml:space="preserve">• Η πρόσβαση μπορεί να ανασταλεί ή να τερματιστεί σε περίπτωση λήξης της εργασιακής σχέσης/συνεργασίας, αλλαγής ρόλου, παραβίασης των παρόντων όρων ή λόγων ασφάλειας.</w:t>
      </w:r>
    </w:p>
    <w:p>
      <w:pPr>
        <w:spacing w:after="80"/>
      </w:pPr>
      <w:r>
        <w:rPr>
          <w:b/>
          <w:sz w:val="24"/>
        </w:rPr>
        <w:t xml:space="preserve">4. Αποδεκτή Χρήση</w:t>
      </w:r>
    </w:p>
    <w:p>
      <w:pPr>
        <w:spacing w:after="120"/>
      </w:pPr>
      <w:r>
        <w:t xml:space="preserve">Οι χρήστες οφείλουν να χρησιμοποιούν την εφαρμογή αποκλειστικά για νόμιμους επαγγελματικούς σκοπούς και με τρόπο που δεν βλάπτει την εταιρία, άλλους χρήστες ή την ασφάλεια των συστημάτων.</w:t>
      </w:r>
    </w:p>
    <w:p>
      <w:pPr>
        <w:spacing w:after="120"/>
      </w:pPr>
      <w:r>
        <w:t xml:space="preserve">Απαγορεύεται ιδίως:</w:t>
      </w:r>
    </w:p>
    <w:p>
      <w:pPr>
        <w:spacing w:after="60"/>
      </w:pPr>
      <w:r>
        <w:t xml:space="preserve">• η εισαγωγή ψευδών, παραπλανητικών, προσβλητικών ή παράνομων δεδομένων,</w:t>
      </w:r>
    </w:p>
    <w:p>
      <w:pPr>
        <w:spacing w:after="60"/>
      </w:pPr>
      <w:r>
        <w:t xml:space="preserve">• η προσπάθεια πρόσβασης σε λογαριασμούς, δεδομένα ή λειτουργίες για τα οποία ο χρήστης δεν έχει άδεια,</w:t>
      </w:r>
    </w:p>
    <w:p>
      <w:pPr>
        <w:spacing w:after="60"/>
      </w:pPr>
      <w:r>
        <w:t xml:space="preserve">• η παράκαμψη μηχανισμών ασφαλείας, ελέγχου πρόσβασης ή καταγραφής ενεργειών,</w:t>
      </w:r>
    </w:p>
    <w:p>
      <w:pPr>
        <w:spacing w:after="60"/>
      </w:pPr>
      <w:r>
        <w:t xml:space="preserve">• η μεταφόρτωση κακόβουλου λογισμικού, αυτοματοποιημένων scripts ή αρχείων που μπορούν να βλάψουν την εφαρμογή,</w:t>
      </w:r>
    </w:p>
    <w:p>
      <w:pPr>
        <w:spacing w:after="60"/>
      </w:pPr>
      <w:r>
        <w:t xml:space="preserve">• η χρήση της εφαρμογής για προσωπική, εμπορική ή τρίτη δραστηριότητα που δεν σχετίζεται με την HUMAN PRAXIS E.E.</w:t>
      </w:r>
    </w:p>
    <w:p>
      <w:pPr>
        <w:spacing w:after="80"/>
      </w:pPr>
      <w:r>
        <w:rPr>
          <w:b/>
          <w:sz w:val="24"/>
        </w:rPr>
        <w:t xml:space="preserve">5. Ορθότητα Στοιχείων και Ευθύνη Χρήστη</w:t>
      </w:r>
    </w:p>
    <w:p>
      <w:pPr>
        <w:spacing w:after="120"/>
      </w:pPr>
      <w:r>
        <w:t xml:space="preserve">Ο χρήστης οφείλει να καταχωρεί ακριβή και επικαιροποιημένα στοιχεία. Η εταιρία μπορεί να ζητήσει διευκρινίσεις ή διόρθωση δεδομένων όταν διαπιστώνεται ασάφεια, σφάλμα ή ασυνέπεια.</w:t>
      </w:r>
    </w:p>
    <w:p>
      <w:pPr>
        <w:spacing w:after="120"/>
      </w:pPr>
      <w:r>
        <w:t xml:space="preserve">Ενέργειες που πραγματοποιούνται μέσω λογαριασμού χρήστη θεωρείται ότι έγιναν από τον ίδιο, εκτός εάν αποδειχθεί μη εξουσιοδοτημένη πρόσβαση η οποία γνωστοποιήθηκε έγκαιρα στην εταιρία.</w:t>
      </w:r>
    </w:p>
    <w:p>
      <w:pPr>
        <w:spacing w:after="80"/>
      </w:pPr>
      <w:r>
        <w:rPr>
          <w:b/>
          <w:sz w:val="24"/>
        </w:rPr>
        <w:t xml:space="preserve">6. Προσωπικά Δεδομένα</w:t>
      </w:r>
    </w:p>
    <w:p>
      <w:pPr>
        <w:spacing w:after="120"/>
      </w:pPr>
      <w:r>
        <w:t xml:space="preserve">Η επεξεργασία προσωπικών δεδομένων γίνεται σύμφωνα με την Πολιτική Απορρήτου της HUMAN PRAXIS E.E., η οποία αποτελεί χωριστό έγγραφο και ενημερώνει τους χρήστες για τα δεδομένα που συλλέγονται, τους σκοπούς, τις νομικές βάσεις, τα δικαιώματα και τα μέτρα προστασίας.</w:t>
      </w:r>
    </w:p>
    <w:p>
      <w:pPr>
        <w:spacing w:after="80"/>
      </w:pPr>
      <w:r>
        <w:rPr>
          <w:b/>
          <w:sz w:val="24"/>
        </w:rPr>
        <w:t xml:space="preserve">7. Διαθεσιμότητα, Συντήρηση και Υποστήριξη</w:t>
      </w:r>
    </w:p>
    <w:p>
      <w:pPr>
        <w:spacing w:after="120"/>
      </w:pPr>
      <w:r>
        <w:t xml:space="preserve">Η εταιρία καταβάλλει εύλογες προσπάθειες για την ασφαλή και ομαλή λειτουργία της εφαρμογής. Ωστόσο, δεν εγγυάται αδιάλειπτη ή χωρίς σφάλματα λειτουργία, ιδίως σε περιπτώσεις τεχνικής συντήρησης, αναβαθμίσεων, βλάβης υποδομών, διακοπής τρίτων παρόχων ή γεγονότων ανωτέρας βίας.</w:t>
      </w:r>
    </w:p>
    <w:p>
      <w:pPr>
        <w:spacing w:after="120"/>
      </w:pPr>
      <w:r>
        <w:t xml:space="preserve">Για τεχνικά προβλήματα ή απορίες χρήσης, οι χρήστες μπορούν να απευθύνονται στα διαθέσιμα στοιχεία επικοινωνίας της εταιρίας ή στον αρμόδιο εσωτερικό υπεύθυνο.</w:t>
      </w:r>
    </w:p>
    <w:p>
      <w:pPr>
        <w:spacing w:after="80"/>
      </w:pPr>
      <w:r>
        <w:rPr>
          <w:b/>
          <w:sz w:val="24"/>
        </w:rPr>
        <w:t xml:space="preserve">8. Καταγραφή Ενεργειών και Ασφάλεια</w:t>
      </w:r>
    </w:p>
    <w:p>
      <w:pPr>
        <w:spacing w:after="120"/>
      </w:pPr>
      <w:r>
        <w:t xml:space="preserve">Για λόγους ασφάλειας, ελέγχου πρόσβασης, τεχνικής υποστήριξης και προστασίας από κατάχρηση, η εφαρμογή ενδέχεται να τηρεί τεχνικά αρχεία καταγραφής, όπως χρόνος σύνδεσης, αναγνωριστικό χρήστη, ενέργειες εντός της εφαρμογής και τεχνικά στοιχεία συσκευής/σύνδεσης, στον βαθμό που είναι απαραίτητο.</w:t>
      </w:r>
    </w:p>
    <w:p>
      <w:pPr>
        <w:spacing w:after="80"/>
      </w:pPr>
      <w:r>
        <w:rPr>
          <w:b/>
          <w:sz w:val="24"/>
        </w:rPr>
        <w:t xml:space="preserve">9. Πνευματική Ιδιοκτησία</w:t>
      </w:r>
    </w:p>
    <w:p>
      <w:pPr>
        <w:spacing w:after="120"/>
      </w:pPr>
      <w:r>
        <w:t xml:space="preserve">Η εφαρμογή, η δομή της, τα κείμενα, τα σήματα, τα γραφικά και το περιεχόμενο που ανήκει στην HUMAN PRAXIS E.E. προστατεύονται από την ισχύουσα νομοθεσία. Απαγορεύεται η αντιγραφή, αναπαραγωγή, διανομή, τροποποίηση ή εμπορική εκμετάλλευση χωρίς προηγούμενη άδεια της εταιρίας.</w:t>
      </w:r>
    </w:p>
    <w:p>
      <w:pPr>
        <w:spacing w:after="80"/>
      </w:pPr>
      <w:r>
        <w:rPr>
          <w:b/>
          <w:sz w:val="24"/>
        </w:rPr>
        <w:t xml:space="preserve">10. Τρίτες Υπηρεσίες</w:t>
      </w:r>
    </w:p>
    <w:p>
      <w:pPr>
        <w:spacing w:after="120"/>
      </w:pPr>
      <w:r>
        <w:t xml:space="preserve">Η εφαρμογή μπορεί να βασίζεται ή να διασυνδέεται με υπηρεσίες τρίτων, όπως πάροχοι φιλοξενίας, εργαλεία ασφάλειας, υπηρεσίες email ή Microsoft/Cloud υπηρεσίες. Η εταιρία δεν ευθύνεται για προσωρινές διακοπές ή τεχνικά ζητήματα που οφείλονται αποκλειστικά σε τρίτους παρόχους, λαμβάνει όμως εύλογα μέτρα για την επιλογή αξιόπιστων συνεργατών.</w:t>
      </w:r>
    </w:p>
    <w:p>
      <w:pPr>
        <w:spacing w:after="80"/>
      </w:pPr>
      <w:r>
        <w:rPr>
          <w:b/>
          <w:sz w:val="24"/>
        </w:rPr>
        <w:t xml:space="preserve">11. Περιορισμός Ευθύνης</w:t>
      </w:r>
    </w:p>
    <w:p>
      <w:pPr>
        <w:spacing w:after="120"/>
      </w:pPr>
      <w:r>
        <w:t xml:space="preserve">Η εφαρμογή παρέχεται για την υποστήριξη εσωτερικών διαδικασιών και δεν υποκαθιστά επίσημες γραπτές ανακοινώσεις, συμβάσεις, μισθοδοτικά έγγραφα ή υποχρεώσεις που προβλέπονται από την εργατική, φορολογική ή ασφαλιστική νομοθεσία.</w:t>
      </w:r>
    </w:p>
    <w:p>
      <w:pPr>
        <w:spacing w:after="120"/>
      </w:pPr>
      <w:r>
        <w:t xml:space="preserve">Στον μέγιστο βαθμό που επιτρέπεται από τον νόμο, η HUMAN PRAXIS E.E. δεν ευθύνεται για έμμεσες ζημίες που προκύπτουν από μη ορθή χρήση, μη εξουσιοδοτημένη πρόσβαση λόγω αμέλειας χρήστη ή αδυναμία πρόσβασης που οφείλεται σε παράγοντες εκτός ελέγχου της εταιρίας.</w:t>
      </w:r>
    </w:p>
    <w:p>
      <w:pPr>
        <w:spacing w:after="80"/>
      </w:pPr>
      <w:r>
        <w:rPr>
          <w:b/>
          <w:sz w:val="24"/>
        </w:rPr>
        <w:t xml:space="preserve">12. Τροποποιήσεις</w:t>
      </w:r>
    </w:p>
    <w:p>
      <w:pPr>
        <w:spacing w:after="120"/>
      </w:pPr>
      <w:r>
        <w:t xml:space="preserve">Η εταιρία διατηρεί το δικαίωμα τροποποίησης των παρόντων όρων για λειτουργικούς, τεχνικούς, νομικούς ή οργανωτικούς λόγους. Οι χρήστες θα ενημερώνονται για ουσιώδεις αλλαγές με πρόσφορο τρόπο, όπως μέσω της εφαρμογής, email ή εσωτερικής ανακοίνωσης.</w:t>
      </w:r>
    </w:p>
    <w:p>
      <w:pPr>
        <w:spacing w:after="80"/>
      </w:pPr>
      <w:r>
        <w:rPr>
          <w:b/>
          <w:sz w:val="24"/>
        </w:rPr>
        <w:t xml:space="preserve">13. Εφαρμοστέο Δίκαιο και Δικαιοδοσία</w:t>
      </w:r>
    </w:p>
    <w:p>
      <w:pPr>
        <w:spacing w:after="120"/>
      </w:pPr>
      <w:r>
        <w:t xml:space="preserve">Οι παρόντες όροι διέπονται από το Ελληνικό δίκαιο και το δίκαιο της Ευρωπαϊκής Ένωσης. Αρμόδια για τυχόν διαφορές είναι τα δικαστήρια Αθηνών, εκτός εάν προβλέπεται διαφορετικά από αναγκαστικού δικαίου διάταξη.</w:t>
      </w:r>
    </w:p>
    <w:sectPr w:rsidR="00D42652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A6A8" w14:textId="77777777" w:rsidR="00863B86" w:rsidRDefault="00863B86">
      <w:r>
        <w:separator/>
      </w:r>
    </w:p>
  </w:endnote>
  <w:endnote w:type="continuationSeparator" w:id="0">
    <w:p w14:paraId="772F2A83" w14:textId="77777777" w:rsidR="00863B86" w:rsidRDefault="0086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2841" w14:textId="77777777" w:rsidR="00D42652" w:rsidRDefault="00000000">
    <w:pPr>
      <w:jc w:val="center"/>
    </w:pPr>
    <w:r>
      <w:rPr>
        <w:color w:val="888888"/>
        <w:sz w:val="18"/>
        <w:szCs w:val="18"/>
      </w:rPr>
      <w:t xml:space="preserve">Σελίδα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D610AA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 /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NUMPAGES</w:instrText>
    </w:r>
    <w:r>
      <w:rPr>
        <w:color w:val="888888"/>
        <w:sz w:val="18"/>
        <w:szCs w:val="18"/>
      </w:rPr>
      <w:fldChar w:fldCharType="separate"/>
    </w:r>
    <w:r w:rsidR="00D610AA">
      <w:rPr>
        <w:noProof/>
        <w:color w:val="888888"/>
        <w:sz w:val="18"/>
        <w:szCs w:val="18"/>
      </w:rPr>
      <w:t>2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F9D8B" w14:textId="77777777" w:rsidR="00863B86" w:rsidRDefault="00863B86">
      <w:r>
        <w:separator/>
      </w:r>
    </w:p>
  </w:footnote>
  <w:footnote w:type="continuationSeparator" w:id="0">
    <w:p w14:paraId="24044190" w14:textId="77777777" w:rsidR="00863B86" w:rsidRDefault="00863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4447A"/>
    <w:multiLevelType w:val="hybridMultilevel"/>
    <w:tmpl w:val="6D9A3E1C"/>
    <w:lvl w:ilvl="0" w:tplc="2E060A14">
      <w:start w:val="1"/>
      <w:numFmt w:val="bullet"/>
      <w:lvlText w:val="•"/>
      <w:lvlJc w:val="left"/>
      <w:pPr>
        <w:ind w:left="720" w:hanging="360"/>
      </w:pPr>
    </w:lvl>
    <w:lvl w:ilvl="1" w:tplc="063A61E6">
      <w:numFmt w:val="decimal"/>
      <w:lvlText w:val=""/>
      <w:lvlJc w:val="left"/>
    </w:lvl>
    <w:lvl w:ilvl="2" w:tplc="10645036">
      <w:numFmt w:val="decimal"/>
      <w:lvlText w:val=""/>
      <w:lvlJc w:val="left"/>
    </w:lvl>
    <w:lvl w:ilvl="3" w:tplc="BF301A00">
      <w:numFmt w:val="decimal"/>
      <w:lvlText w:val=""/>
      <w:lvlJc w:val="left"/>
    </w:lvl>
    <w:lvl w:ilvl="4" w:tplc="F93E4742">
      <w:numFmt w:val="decimal"/>
      <w:lvlText w:val=""/>
      <w:lvlJc w:val="left"/>
    </w:lvl>
    <w:lvl w:ilvl="5" w:tplc="38A0CFDE">
      <w:numFmt w:val="decimal"/>
      <w:lvlText w:val=""/>
      <w:lvlJc w:val="left"/>
    </w:lvl>
    <w:lvl w:ilvl="6" w:tplc="0A5E29E2">
      <w:numFmt w:val="decimal"/>
      <w:lvlText w:val=""/>
      <w:lvlJc w:val="left"/>
    </w:lvl>
    <w:lvl w:ilvl="7" w:tplc="13D08B2C">
      <w:numFmt w:val="decimal"/>
      <w:lvlText w:val=""/>
      <w:lvlJc w:val="left"/>
    </w:lvl>
    <w:lvl w:ilvl="8" w:tplc="9056A8C6">
      <w:numFmt w:val="decimal"/>
      <w:lvlText w:val=""/>
      <w:lvlJc w:val="left"/>
    </w:lvl>
  </w:abstractNum>
  <w:abstractNum w:abstractNumId="1" w15:restartNumberingAfterBreak="0">
    <w:nsid w:val="5C9747F7"/>
    <w:multiLevelType w:val="hybridMultilevel"/>
    <w:tmpl w:val="06D2F690"/>
    <w:lvl w:ilvl="0" w:tplc="769226A6">
      <w:start w:val="1"/>
      <w:numFmt w:val="bullet"/>
      <w:lvlText w:val="●"/>
      <w:lvlJc w:val="left"/>
      <w:pPr>
        <w:ind w:left="720" w:hanging="360"/>
      </w:pPr>
    </w:lvl>
    <w:lvl w:ilvl="1" w:tplc="15AE06DC">
      <w:start w:val="1"/>
      <w:numFmt w:val="bullet"/>
      <w:lvlText w:val="○"/>
      <w:lvlJc w:val="left"/>
      <w:pPr>
        <w:ind w:left="1440" w:hanging="360"/>
      </w:pPr>
    </w:lvl>
    <w:lvl w:ilvl="2" w:tplc="6EAE71A8">
      <w:start w:val="1"/>
      <w:numFmt w:val="bullet"/>
      <w:lvlText w:val="■"/>
      <w:lvlJc w:val="left"/>
      <w:pPr>
        <w:ind w:left="2160" w:hanging="360"/>
      </w:pPr>
    </w:lvl>
    <w:lvl w:ilvl="3" w:tplc="A42E055C">
      <w:start w:val="1"/>
      <w:numFmt w:val="bullet"/>
      <w:lvlText w:val="●"/>
      <w:lvlJc w:val="left"/>
      <w:pPr>
        <w:ind w:left="2880" w:hanging="360"/>
      </w:pPr>
    </w:lvl>
    <w:lvl w:ilvl="4" w:tplc="0700EC26">
      <w:start w:val="1"/>
      <w:numFmt w:val="bullet"/>
      <w:lvlText w:val="○"/>
      <w:lvlJc w:val="left"/>
      <w:pPr>
        <w:ind w:left="3600" w:hanging="360"/>
      </w:pPr>
    </w:lvl>
    <w:lvl w:ilvl="5" w:tplc="22CC77AA">
      <w:start w:val="1"/>
      <w:numFmt w:val="bullet"/>
      <w:lvlText w:val="■"/>
      <w:lvlJc w:val="left"/>
      <w:pPr>
        <w:ind w:left="4320" w:hanging="360"/>
      </w:pPr>
    </w:lvl>
    <w:lvl w:ilvl="6" w:tplc="5B46075E">
      <w:start w:val="1"/>
      <w:numFmt w:val="bullet"/>
      <w:lvlText w:val="●"/>
      <w:lvlJc w:val="left"/>
      <w:pPr>
        <w:ind w:left="5040" w:hanging="360"/>
      </w:pPr>
    </w:lvl>
    <w:lvl w:ilvl="7" w:tplc="DE5C0234">
      <w:start w:val="1"/>
      <w:numFmt w:val="bullet"/>
      <w:lvlText w:val="●"/>
      <w:lvlJc w:val="left"/>
      <w:pPr>
        <w:ind w:left="5760" w:hanging="360"/>
      </w:pPr>
    </w:lvl>
    <w:lvl w:ilvl="8" w:tplc="077ED57C">
      <w:start w:val="1"/>
      <w:numFmt w:val="bullet"/>
      <w:lvlText w:val="●"/>
      <w:lvlJc w:val="left"/>
      <w:pPr>
        <w:ind w:left="6480" w:hanging="360"/>
      </w:pPr>
    </w:lvl>
  </w:abstractNum>
  <w:num w:numId="1" w16cid:durableId="1039015175">
    <w:abstractNumId w:val="1"/>
    <w:lvlOverride w:ilvl="0">
      <w:startOverride w:val="1"/>
    </w:lvlOverride>
  </w:num>
  <w:num w:numId="2" w16cid:durableId="1537542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52"/>
    <w:rsid w:val="00783C10"/>
    <w:rsid w:val="00863B86"/>
    <w:rsid w:val="00D42652"/>
    <w:rsid w:val="00D6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A64A"/>
  <w15:docId w15:val="{3AA4A944-5A7B-40BA-9169-979DA007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40"/>
      <w:outlineLvl w:val="0"/>
    </w:pPr>
    <w:rPr>
      <w:b/>
      <w:bCs/>
      <w:color w:val="2F5D4F"/>
      <w:sz w:val="28"/>
      <w:szCs w:val="28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after="120"/>
    </w:pPr>
    <w:rPr>
      <w:b/>
      <w:bCs/>
      <w:sz w:val="40"/>
      <w:szCs w:val="40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Alexandros Theoharopoulos</cp:lastModifiedBy>
  <cp:revision>2</cp:revision>
  <dcterms:created xsi:type="dcterms:W3CDTF">2026-06-03T12:23:00Z</dcterms:created>
  <dcterms:modified xsi:type="dcterms:W3CDTF">2026-06-03T12:30:00Z</dcterms:modified>
</cp:coreProperties>
</file>