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spacing w:after="80"/>
      </w:pPr>
      <w:r>
        <w:rPr>
          <w:b/>
          <w:sz w:val="32"/>
        </w:rPr>
        <w:t xml:space="preserve">Πολιτική Απορρήτου</w:t>
      </w:r>
    </w:p>
    <w:p>
      <w:pPr>
        <w:spacing w:after="240"/>
      </w:pPr>
      <w:r>
        <w:rPr>
          <w:b/>
          <w:sz w:val="24"/>
        </w:rPr>
        <w:t xml:space="preserve">Human Praxis</w:t>
      </w:r>
    </w:p>
    <w:p>
      <w:pPr>
        <w:spacing w:after="120"/>
      </w:pPr>
      <w:r>
        <w:rPr>
          <w:sz w:val="18"/>
        </w:rPr>
        <w:t xml:space="preserve">Έκδοση: v3 — Ημερομηνία τελευταίας ενημέρωσης: 03/06/2026</w:t>
      </w:r>
    </w:p>
    <w:p>
      <w:pPr>
        <w:spacing w:after="80"/>
      </w:pPr>
      <w:r>
        <w:rPr>
          <w:b/>
          <w:sz w:val="24"/>
        </w:rPr>
        <w:t xml:space="preserve">1. Υπεύθυνος Επεξεργασίας</w:t>
      </w:r>
    </w:p>
    <w:p>
      <w:pPr>
        <w:spacing w:after="120"/>
      </w:pPr>
      <w:r>
        <w:t xml:space="preserve">Η εταιρία HUMAN PRAXIS E.E., με ΑΦΜ 803089661 και διεύθυνση Ελευθερίου Βενιζέλου 2, Ελευσίνα, είναι ο υπεύθυνος επεξεργασίας των προσωπικών δεδομένων που συλλέγονται μέσω της εφαρμογής Human Praxis Portal και των σχετικών υπηρεσιών.</w:t>
      </w:r>
    </w:p>
    <w:p>
      <w:pPr>
        <w:spacing w:after="120"/>
      </w:pPr>
      <w:r>
        <w:t xml:space="preserve">Στοιχεία επικοινωνίας για θέματα προσωπικών δεδομένων: info@humanpraxis.gr.</w:t>
      </w:r>
    </w:p>
    <w:p>
      <w:pPr>
        <w:spacing w:after="80"/>
      </w:pPr>
      <w:r>
        <w:rPr>
          <w:b/>
          <w:sz w:val="24"/>
        </w:rPr>
        <w:t xml:space="preserve">2. Πεδίο Εφαρμογής</w:t>
      </w:r>
    </w:p>
    <w:p>
      <w:pPr>
        <w:spacing w:after="120"/>
      </w:pPr>
      <w:r>
        <w:t xml:space="preserve">Η παρούσα πολιτική αφορά τη χρήση του Human Praxis Portal, του WorkPass και των ψηφιακών φορμών/υπηρεσιών που χρησιμοποιούνται από την HUMAN PRAXIS E.E. για εργαζόμενους, συνεργάτες, υποψήφιους εργαζόμενους και εξουσιοδοτημένους χρήστες.</w:t>
      </w:r>
    </w:p>
    <w:p>
      <w:pPr>
        <w:spacing w:after="120"/>
      </w:pPr>
      <w:r>
        <w:t xml:space="preserve">Δεν καλύπτει ιστοσελίδες ή υπηρεσίες τρίτων που λειτουργούν ανεξάρτητα και έχουν δικές τους πολιτικές απορρήτου.</w:t>
      </w:r>
    </w:p>
    <w:p>
      <w:pPr>
        <w:spacing w:after="80"/>
      </w:pPr>
      <w:r>
        <w:rPr>
          <w:b/>
          <w:sz w:val="24"/>
        </w:rPr>
        <w:t xml:space="preserve">3. Τι Δεδομένα Συλλέγουμε</w:t>
      </w:r>
    </w:p>
    <w:p>
      <w:pPr>
        <w:spacing w:after="120"/>
      </w:pPr>
      <w:r>
        <w:t xml:space="preserve">Ανάλογα με τη χρήση της εφαρμογής ή της φόρμας, ενδέχεται να συλλέγονται οι εξής κατηγορίες δεδομένων:</w:t>
      </w:r>
    </w:p>
    <w:p>
      <w:pPr>
        <w:spacing w:after="60"/>
      </w:pPr>
      <w:r>
        <w:t xml:space="preserve">• Στοιχεία ταυτοποίησης, όπως ονοματεπώνυμο, ιδιότητα, ρόλος ή εσωτερικός κωδικός χρήστη.</w:t>
      </w:r>
    </w:p>
    <w:p>
      <w:pPr>
        <w:spacing w:after="60"/>
      </w:pPr>
      <w:r>
        <w:t xml:space="preserve">• Στοιχεία επικοινωνίας, όπως τηλέφωνο ή email, εφόσον απαιτούνται για επικοινωνία ή εξυπηρέτηση αιτήματος.</w:t>
      </w:r>
    </w:p>
    <w:p>
      <w:pPr>
        <w:spacing w:after="60"/>
      </w:pPr>
      <w:r>
        <w:t xml:space="preserve">• Δεδομένα αιτημάτων που υποβάλλονται μέσω του Portal, όπως τύπος αιτήματος, περιγραφή, ημερομηνίες, κατάσταση αιτήματος και απαντήσεις/ενέργειες της εταιρίας.</w:t>
      </w:r>
    </w:p>
    <w:p>
      <w:pPr>
        <w:spacing w:after="60"/>
      </w:pPr>
      <w:r>
        <w:t xml:space="preserve">• Δεδομένα παρουσιών/ωραρίου μέσω WorkPass, όπως χρόνος προσέλευσης/αποχώρησης, βάρδια, τοποθεσία εργασίας όπου εφαρμόζεται και λοιπά στοιχεία που απαιτούνται για την τήρηση εργασιακών υποχρεώσεων.</w:t>
      </w:r>
    </w:p>
    <w:p>
      <w:pPr>
        <w:spacing w:after="60"/>
      </w:pPr>
      <w:r>
        <w:t xml:space="preserve">• Δεδομένα υποψηφίων εργαζομένων, όπως βιογραφικό, εργασιακή εμπειρία, διαθεσιμότητα, ειδικότητα, στοιχεία επικοινωνίας και πληροφορίες που παρέχει ο ίδιος ο υποψήφιος.</w:t>
      </w:r>
    </w:p>
    <w:p>
      <w:pPr>
        <w:spacing w:after="60"/>
      </w:pPr>
      <w:r>
        <w:t xml:space="preserve">• Τεχνικά δεδομένα σύνδεσης και ασφάλειας, όπως ημερομηνία/ώρα πρόσβασης, IP διεύθυνση, τύπος συσκευής/φυλλομετρητή, αναγνωριστικά συνεδρίας και logs συστήματος.</w:t>
      </w:r>
    </w:p>
    <w:p>
      <w:pPr>
        <w:spacing w:after="120"/>
      </w:pPr>
      <w:r>
        <w:t xml:space="preserve">Δεν ζητούμε ευαίσθητα προσωπικά δεδομένα, όπως δεδομένα υγείας, θρησκευτικών πεποιθήσεων, πολιτικών απόψεων ή άλλα δεδομένα ειδικής κατηγορίας, εκτός εάν είναι απολύτως απαραίτητο, προβλέπεται από τον νόμο ή υπάρχει άλλη κατάλληλη νόμιμη βάση. Οι χρήστες παρακαλούνται να μην εισάγουν τέτοια δεδομένα εάν δεν τους ζητηθεί ρητά.</w:t>
      </w:r>
    </w:p>
    <w:p>
      <w:pPr>
        <w:spacing w:after="80"/>
      </w:pPr>
      <w:r>
        <w:rPr>
          <w:b/>
          <w:sz w:val="24"/>
        </w:rPr>
        <w:t xml:space="preserve">4. Πηγές Δεδομένων</w:t>
      </w:r>
    </w:p>
    <w:p>
      <w:pPr>
        <w:spacing w:after="120"/>
      </w:pPr>
      <w:r>
        <w:t xml:space="preserve">Τα δεδομένα συλλέγονται απευθείας από τον χρήστη όταν συμπληρώνει φόρμες, υποβάλλει αιτήματα ή χρησιμοποιεί το Portal/WorkPass. Ορισμένα δεδομένα δημιουργούνται αυτόματα από τα συστήματα για λόγους λειτουργίας, ασφάλειας και τεκμηρίωσης ενεργειών.</w:t>
      </w:r>
    </w:p>
    <w:p>
      <w:pPr>
        <w:spacing w:after="80"/>
      </w:pPr>
      <w:r>
        <w:rPr>
          <w:b/>
          <w:sz w:val="24"/>
        </w:rPr>
        <w:t xml:space="preserve">5. Σκοποί και Νομικές Βάσεις Επεξεργασίας</w:t>
      </w:r>
    </w:p>
    <w:p>
      <w:pPr>
        <w:spacing w:after="120"/>
      </w:pPr>
      <w:r>
        <w:t xml:space="preserve">Τα δεδομένα επεξεργάζονται για τους εξής σκοπούς και νόμιμες βάσεις:</w:t>
      </w:r>
    </w:p>
    <w:p>
      <w:pPr>
        <w:spacing w:after="60"/>
      </w:pPr>
      <w:r>
        <w:t xml:space="preserve">• Εκτέλεση σύμβασης εργασίας ή συνεργασίας (άρθρο 6 παρ. 1 στοιχ. β΄ GDPR), για τη διαχείριση της εργασιακής/συνεργατικής σχέσης, αιτημάτων, παρουσιών και σχετικής επικοινωνίας.</w:t>
      </w:r>
    </w:p>
    <w:p>
      <w:pPr>
        <w:spacing w:after="60"/>
      </w:pPr>
      <w:r>
        <w:t xml:space="preserve">• Συμμόρφωση με νομική υποχρέωση (άρθρο 6 παρ. 1 στοιχ. γ΄ GDPR), όπως εργατική, ασφαλιστική, φορολογική και λογιστική νομοθεσία, καθώς και υποχρεώσεις καταγραφής ωραρίου.</w:t>
      </w:r>
    </w:p>
    <w:p>
      <w:pPr>
        <w:spacing w:after="60"/>
      </w:pPr>
      <w:r>
        <w:t xml:space="preserve">• Έννομο συμφέρον της εταιρίας (άρθρο 6 παρ. 1 στοιχ. στ΄ GDPR), όπως ασφάλεια πληροφοριακών συστημάτων, αποτροπή κατάχρησης, οργάνωση εσωτερικών διαδικασιών και τεκμηρίωση αιτημάτων.</w:t>
      </w:r>
    </w:p>
    <w:p>
      <w:pPr>
        <w:spacing w:after="60"/>
      </w:pPr>
      <w:r>
        <w:t xml:space="preserve">• Συγκατάθεση (άρθρο 6 παρ. 1 στοιχ. α΄ GDPR), όπου απαιτείται, ιδίως για προαιρετικές ενέργειες ή διατήρηση στοιχείων υποψηφίων πέραν του απολύτως αναγκαίου χρόνου, εφόσον ζητηθεί ξεχωριστά.</w:t>
      </w:r>
    </w:p>
    <w:p>
      <w:pPr>
        <w:spacing w:after="80"/>
      </w:pPr>
      <w:r>
        <w:rPr>
          <w:b/>
          <w:sz w:val="24"/>
        </w:rPr>
        <w:t xml:space="preserve">6. Χρόνος Διατήρησης</w:t>
      </w:r>
    </w:p>
    <w:p>
      <w:pPr>
        <w:spacing w:after="120"/>
      </w:pPr>
      <w:r>
        <w:t xml:space="preserve">Τα δεδομένα διατηρούνται μόνο για όσο είναι απαραίτητο για τους σκοπούς για τους οποίους συλλέχθηκαν και σύμφωνα με τις νόμιμες προθεσμίες διατήρησης. Ενδεικτικά:</w:t>
      </w:r>
    </w:p>
    <w:p>
      <w:pPr>
        <w:spacing w:after="60"/>
      </w:pPr>
      <w:r>
        <w:t xml:space="preserve">• Δεδομένα αιτημάτων μέσω Portal: έως 6 μήνες από την ολοκλήρωση/κλείσιμο του αιτήματος, εκτός εάν απαιτείται μεγαλύτερη διατήρηση για νομική τεκμηρίωση.</w:t>
      </w:r>
    </w:p>
    <w:p>
      <w:pPr>
        <w:spacing w:after="60"/>
      </w:pPr>
      <w:r>
        <w:t xml:space="preserve">• Δεδομένα υποψηφίων και βιογραφικά: έως 12 μήνες, εκτός εάν ο υποψήφιος ζητήσει νωρίτερα διαγραφή ή δοθεί χωριστή συγκατάθεση για μεγαλύτερη διατήρηση.</w:t>
      </w:r>
    </w:p>
    <w:p>
      <w:pPr>
        <w:spacing w:after="60"/>
      </w:pPr>
      <w:r>
        <w:t xml:space="preserve">• Δεδομένα παρουσιών/ωραρίου και εργασιακά στοιχεία: για όσο απαιτείται από την εργατική, ασφαλιστική, φορολογική ή άλλη σχετική νομοθεσία.</w:t>
      </w:r>
    </w:p>
    <w:p>
      <w:pPr>
        <w:spacing w:after="60"/>
      </w:pPr>
      <w:r>
        <w:t xml:space="preserve">• Τεχνικά logs ασφάλειας: για περιορισμένο χρονικό διάστημα που είναι απαραίτητο για ασφάλεια, έλεγχο πρόσβασης και διερεύνηση περιστατικών.</w:t>
      </w:r>
    </w:p>
    <w:p>
      <w:pPr>
        <w:spacing w:after="120"/>
      </w:pPr>
      <w:r>
        <w:t xml:space="preserve">Μετά τη λήξη του χρόνου διατήρησης, τα δεδομένα διαγράφονται ή ανωνυμοποιούνται, εκτός εάν υπάρχει νόμιμος λόγος περαιτέρω διατήρησης.</w:t>
      </w:r>
    </w:p>
    <w:p>
      <w:pPr>
        <w:spacing w:after="80"/>
      </w:pPr>
      <w:r>
        <w:rPr>
          <w:b/>
          <w:sz w:val="24"/>
        </w:rPr>
        <w:t xml:space="preserve">7. Αποδέκτες των Δεδομένων</w:t>
      </w:r>
    </w:p>
    <w:p>
      <w:pPr>
        <w:spacing w:after="120"/>
      </w:pPr>
      <w:r>
        <w:t xml:space="preserve">Πρόσβαση στα δεδομένα έχουν μόνο εξουσιοδοτημένα πρόσωπα και συνεργάτες στον βαθμό που είναι απαραίτητο για την εργασία τους. Τα δεδομένα ενδέχεται να κοινοποιούνται σε:</w:t>
      </w:r>
    </w:p>
    <w:p>
      <w:pPr>
        <w:spacing w:after="60"/>
      </w:pPr>
      <w:r>
        <w:t xml:space="preserve">• εξουσιοδοτημένο προσωπικό της HUMAN PRAXIS E.E.,</w:t>
      </w:r>
    </w:p>
    <w:p>
      <w:pPr>
        <w:spacing w:after="60"/>
      </w:pPr>
      <w:r>
        <w:t xml:space="preserve">• τεχνικούς συνεργάτες, παρόχους cloud/φιλοξενίας, email, ασφάλειας και συντήρησης συστημάτων, οι οποίοι ενεργούν ως εκτελούντες την επεξεργασία,</w:t>
      </w:r>
    </w:p>
    <w:p>
      <w:pPr>
        <w:spacing w:after="60"/>
      </w:pPr>
      <w:r>
        <w:t xml:space="preserve">• λογιστές, νομικούς, ασφαλιστικούς ή άλλους επαγγελματικούς συμβούλους, όπου απαιτείται,</w:t>
      </w:r>
    </w:p>
    <w:p>
      <w:pPr>
        <w:spacing w:after="60"/>
      </w:pPr>
      <w:r>
        <w:t xml:space="preserve">• αρμόδιες δημόσιες, δικαστικές, εργατικές, φορολογικές ή ασφαλιστικές αρχές, εφόσον υπάρχει νόμιμη υποχρέωση.</w:t>
      </w:r>
    </w:p>
    <w:p>
      <w:pPr>
        <w:spacing w:after="120"/>
      </w:pPr>
      <w:r>
        <w:t xml:space="preserve">Η HUMAN PRAXIS E.E. δεν πωλεί προσωπικά δεδομένα σε τρίτους.</w:t>
      </w:r>
    </w:p>
    <w:p>
      <w:pPr>
        <w:spacing w:after="80"/>
      </w:pPr>
      <w:r>
        <w:rPr>
          <w:b/>
          <w:sz w:val="24"/>
        </w:rPr>
        <w:t xml:space="preserve">8. Διαβιβάσεις Εκτός ΕΕ/ΕΟΧ</w:t>
      </w:r>
    </w:p>
    <w:p>
      <w:pPr>
        <w:spacing w:after="120"/>
      </w:pPr>
      <w:r>
        <w:t xml:space="preserve">Η εταιρία επιδιώκει τα δεδομένα να παραμένουν εντός Ευρωπαϊκής Ένωσης/Ευρωπαϊκού Οικονομικού Χώρου. Εφόσον πάροχοι, όπως διεθνείς cloud ή Microsoft υπηρεσίες, επεξεργάζονται δεδομένα εκτός ΕΕ/ΕΟΧ, η διαβίβαση γίνεται με κατάλληλες εγγυήσεις σύμφωνα με τον GDPR, όπως Τυποποιημένες Συμβατικές Ρήτρες ή άλλους αναγνωρισμένους μηχανισμούς προστασίας.</w:t>
      </w:r>
    </w:p>
    <w:p>
      <w:pPr>
        <w:spacing w:after="80"/>
      </w:pPr>
      <w:r>
        <w:rPr>
          <w:b/>
          <w:sz w:val="24"/>
        </w:rPr>
        <w:t xml:space="preserve">9. Αυτοματοποιημένη Λήψη Αποφάσεων</w:t>
      </w:r>
    </w:p>
    <w:p>
      <w:pPr>
        <w:spacing w:after="120"/>
      </w:pPr>
      <w:r>
        <w:t xml:space="preserve">Δεν λαμβάνονται αποφάσεις με αποκλειστικά αυτοματοποιημένη επεξεργασία ούτε πραγματοποιείται profiling που παράγει έννομα αποτελέσματα ή επηρεάζει σημαντικά τους χρήστες.</w:t>
      </w:r>
    </w:p>
    <w:p>
      <w:pPr>
        <w:spacing w:after="80"/>
      </w:pPr>
      <w:r>
        <w:rPr>
          <w:b/>
          <w:sz w:val="24"/>
        </w:rPr>
        <w:t xml:space="preserve">10. Cookies και Τεχνολογίες Σύνδεσης</w:t>
      </w:r>
    </w:p>
    <w:p>
      <w:pPr>
        <w:spacing w:after="120"/>
      </w:pPr>
      <w:r>
        <w:t xml:space="preserve">Η εφαρμογή χρησιμοποιεί μόνο τεχνικά απαραίτητα cookies ή αντίστοιχες τεχνολογίες, απαραίτητες για ασφαλή σύνδεση, διαχείριση συνεδρίας και βασική λειτουργία της εφαρμογής. Δεν χρησιμοποιούνται cookies διαφήμισης ή εμπορικής ανάλυσης.</w:t>
      </w:r>
    </w:p>
    <w:p>
      <w:pPr>
        <w:spacing w:after="80"/>
      </w:pPr>
      <w:r>
        <w:rPr>
          <w:b/>
          <w:sz w:val="24"/>
        </w:rPr>
        <w:t xml:space="preserve">11. Δικαιώματα των Υποκειμένων</w:t>
      </w:r>
    </w:p>
    <w:p>
      <w:pPr>
        <w:spacing w:after="120"/>
      </w:pPr>
      <w:r>
        <w:t xml:space="preserve">Σύμφωνα με τον GDPR, τα υποκείμενα των δεδομένων έχουν, υπό τις νόμιμες προϋποθέσεις, τα εξής δικαιώματα:</w:t>
      </w:r>
    </w:p>
    <w:p>
      <w:pPr>
        <w:spacing w:after="60"/>
      </w:pPr>
      <w:r>
        <w:t xml:space="preserve">• πρόσβαση στα δεδομένα τους,</w:t>
      </w:r>
    </w:p>
    <w:p>
      <w:pPr>
        <w:spacing w:after="60"/>
      </w:pPr>
      <w:r>
        <w:t xml:space="preserve">• διόρθωση ανακριβών ή ελλιπών δεδομένων,</w:t>
      </w:r>
    </w:p>
    <w:p>
      <w:pPr>
        <w:spacing w:after="60"/>
      </w:pPr>
      <w:r>
        <w:t xml:space="preserve">• διαγραφή δεδομένων, όπου επιτρέπεται,</w:t>
      </w:r>
    </w:p>
    <w:p>
      <w:pPr>
        <w:spacing w:after="60"/>
      </w:pPr>
      <w:r>
        <w:t xml:space="preserve">• περιορισμό της επεξεργασίας,</w:t>
      </w:r>
    </w:p>
    <w:p>
      <w:pPr>
        <w:spacing w:after="60"/>
      </w:pPr>
      <w:r>
        <w:t xml:space="preserve">• εναντίωση στην επεξεργασία που βασίζεται σε έννομο συμφέρον,</w:t>
      </w:r>
    </w:p>
    <w:p>
      <w:pPr>
        <w:spacing w:after="60"/>
      </w:pPr>
      <w:r>
        <w:t xml:space="preserve">• φορητότητα δεδομένων, όπου εφαρμόζεται,</w:t>
      </w:r>
    </w:p>
    <w:p>
      <w:pPr>
        <w:spacing w:after="60"/>
      </w:pPr>
      <w:r>
        <w:t xml:space="preserve">• ανάκληση συγκατάθεσης, όταν η επεξεργασία βασίζεται σε συγκατάθεση, χωρίς να θίγεται η νομιμότητα προηγούμενης επεξεργασίας,</w:t>
      </w:r>
    </w:p>
    <w:p>
      <w:pPr>
        <w:spacing w:after="60"/>
      </w:pPr>
      <w:r>
        <w:t xml:space="preserve">• υποβολή καταγγελίας στην Αρχή Προστασίας Δεδομένων Προσωπικού Χαρακτήρα (www.dpa.gr).</w:t>
      </w:r>
    </w:p>
    <w:p>
      <w:pPr>
        <w:spacing w:after="120"/>
      </w:pPr>
      <w:r>
        <w:t xml:space="preserve">Για την άσκηση δικαιωμάτων, ο ενδιαφερόμενος μπορεί να επικοινωνήσει στο info@humanpraxis.gr. Η εταιρία ενδέχεται να ζητήσει επιβεβαίωση ταυτότητας πριν απαντήσει σε αίτημα.</w:t>
      </w:r>
    </w:p>
    <w:p>
      <w:pPr>
        <w:spacing w:after="80"/>
      </w:pPr>
      <w:r>
        <w:rPr>
          <w:b/>
          <w:sz w:val="24"/>
        </w:rPr>
        <w:t xml:space="preserve">12. Ασφάλεια Δεδομένων</w:t>
      </w:r>
    </w:p>
    <w:p>
      <w:pPr>
        <w:spacing w:after="120"/>
      </w:pPr>
      <w:r>
        <w:t xml:space="preserve">Η εταιρία λαμβάνει κατάλληλα τεχνικά και οργανωτικά μέτρα για την προστασία των δεδομένων, όπως κρυπτογράφηση σύνδεσης HTTPS/SSL, έλεγχο πρόσβασης ανά ρόλο, ισχυρή ταυτοποίηση όπου εφαρμόζεται, περιορισμό πρόσβασης σε εξουσιοδοτημένα πρόσωπα, καταγραφή ενεργειών για λόγους ασφάλειας και τακτική παρακολούθηση/συντήρηση των συστημάτων.</w:t>
      </w:r>
    </w:p>
    <w:p>
      <w:pPr>
        <w:spacing w:after="120"/>
      </w:pPr>
      <w:r>
        <w:t xml:space="preserve">Παρά τα μέτρα ασφαλείας, κανένα πληροφοριακό σύστημα δεν μπορεί να θεωρηθεί απόλυτα ασφαλές. Σε περίπτωση περιστατικού ασφάλειας που επηρεάζει προσωπικά δεδομένα, η εταιρία θα ενεργήσει σύμφωνα με τις υποχρεώσεις του GDPR.</w:t>
      </w:r>
    </w:p>
    <w:p>
      <w:pPr>
        <w:spacing w:after="80"/>
      </w:pPr>
      <w:r>
        <w:rPr>
          <w:b/>
          <w:sz w:val="24"/>
        </w:rPr>
        <w:t xml:space="preserve">13. Υποχρεώσεις Χρηστών</w:t>
      </w:r>
    </w:p>
    <w:p>
      <w:pPr>
        <w:spacing w:after="120"/>
      </w:pPr>
      <w:r>
        <w:t xml:space="preserve">Οι χρήστες οφείλουν να προστατεύουν τα στοιχεία πρόσβασής τους, να μην κοινοποιούν κωδικούς, να αποσυνδέονται από κοινόχρηστες συσκευές και να ενημερώνουν άμεσα την εταιρία εάν αντιληφθούν απώλεια συσκευής, ύποπτη πρόσβαση ή λάθος καταχώρηση προσωπικών δεδομένων.</w:t>
      </w:r>
    </w:p>
    <w:p>
      <w:pPr>
        <w:spacing w:after="80"/>
      </w:pPr>
      <w:r>
        <w:rPr>
          <w:b/>
          <w:sz w:val="24"/>
        </w:rPr>
        <w:t xml:space="preserve">14. Ενημερώσεις της Πολιτικής</w:t>
      </w:r>
    </w:p>
    <w:p>
      <w:pPr>
        <w:spacing w:after="120"/>
      </w:pPr>
      <w:r>
        <w:t xml:space="preserve">Η παρούσα πολιτική μπορεί να ενημερώνεται για νομικούς, τεχνικούς ή οργανωτικούς λόγους. Η νεότερη έκδοση θα είναι διαθέσιμη μέσω της εφαρμογής ή άλλου πρόσφορου μέσου, με αναφορά στην ημερομηνία τελευταίας ενημέρωσης.</w:t>
      </w:r>
    </w:p>
    <w:p>
      <w:pPr>
        <w:spacing w:after="80"/>
      </w:pPr>
      <w:r>
        <w:rPr>
          <w:b/>
          <w:sz w:val="24"/>
        </w:rPr>
        <w:t xml:space="preserve">15. Επικοινωνία</w:t>
      </w:r>
    </w:p>
    <w:p>
      <w:pPr>
        <w:spacing w:after="120"/>
      </w:pPr>
      <w:r>
        <w:t xml:space="preserve">Για ερωτήσεις σχετικά με την παρούσα πολιτική ή για άσκηση δικαιωμάτων προσωπικών δεδομένων, επικοινωνήστε στο info@humanpraxis.gr.</w:t>
      </w:r>
    </w:p>
    <w:sectPr w:rsidR="00E92426">
      <w:footerReference w:type="default" r:id="rId7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2F176" w14:textId="77777777" w:rsidR="006A2CD9" w:rsidRDefault="006A2CD9">
      <w:r>
        <w:separator/>
      </w:r>
    </w:p>
  </w:endnote>
  <w:endnote w:type="continuationSeparator" w:id="0">
    <w:p w14:paraId="7B5CD1A6" w14:textId="77777777" w:rsidR="006A2CD9" w:rsidRDefault="006A2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A863F" w14:textId="77777777" w:rsidR="00E92426" w:rsidRDefault="00000000">
    <w:pPr>
      <w:jc w:val="center"/>
    </w:pPr>
    <w:r>
      <w:rPr>
        <w:color w:val="888888"/>
        <w:sz w:val="18"/>
        <w:szCs w:val="18"/>
      </w:rPr>
      <w:t xml:space="preserve">Σελίδα </w:t>
    </w:r>
    <w:r>
      <w:rPr>
        <w:color w:val="888888"/>
        <w:sz w:val="18"/>
        <w:szCs w:val="18"/>
      </w:rPr>
      <w:fldChar w:fldCharType="begin"/>
    </w:r>
    <w:r>
      <w:rPr>
        <w:color w:val="888888"/>
        <w:sz w:val="18"/>
        <w:szCs w:val="18"/>
      </w:rPr>
      <w:instrText>PAGE</w:instrText>
    </w:r>
    <w:r>
      <w:rPr>
        <w:color w:val="888888"/>
        <w:sz w:val="18"/>
        <w:szCs w:val="18"/>
      </w:rPr>
      <w:fldChar w:fldCharType="separate"/>
    </w:r>
    <w:r w:rsidR="00542AA6">
      <w:rPr>
        <w:noProof/>
        <w:color w:val="888888"/>
        <w:sz w:val="18"/>
        <w:szCs w:val="18"/>
      </w:rPr>
      <w:t>1</w:t>
    </w:r>
    <w:r>
      <w:rPr>
        <w:color w:val="888888"/>
        <w:sz w:val="18"/>
        <w:szCs w:val="18"/>
      </w:rPr>
      <w:fldChar w:fldCharType="end"/>
    </w:r>
    <w:r>
      <w:rPr>
        <w:color w:val="888888"/>
        <w:sz w:val="18"/>
        <w:szCs w:val="18"/>
      </w:rPr>
      <w:t xml:space="preserve"> / </w:t>
    </w:r>
    <w:r>
      <w:rPr>
        <w:color w:val="888888"/>
        <w:sz w:val="18"/>
        <w:szCs w:val="18"/>
      </w:rPr>
      <w:fldChar w:fldCharType="begin"/>
    </w:r>
    <w:r>
      <w:rPr>
        <w:color w:val="888888"/>
        <w:sz w:val="18"/>
        <w:szCs w:val="18"/>
      </w:rPr>
      <w:instrText>NUMPAGES</w:instrText>
    </w:r>
    <w:r>
      <w:rPr>
        <w:color w:val="888888"/>
        <w:sz w:val="18"/>
        <w:szCs w:val="18"/>
      </w:rPr>
      <w:fldChar w:fldCharType="separate"/>
    </w:r>
    <w:r w:rsidR="00542AA6">
      <w:rPr>
        <w:noProof/>
        <w:color w:val="888888"/>
        <w:sz w:val="18"/>
        <w:szCs w:val="18"/>
      </w:rPr>
      <w:t>2</w:t>
    </w:r>
    <w:r>
      <w:rPr>
        <w:color w:val="888888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6971C" w14:textId="77777777" w:rsidR="006A2CD9" w:rsidRDefault="006A2CD9">
      <w:r>
        <w:separator/>
      </w:r>
    </w:p>
  </w:footnote>
  <w:footnote w:type="continuationSeparator" w:id="0">
    <w:p w14:paraId="1B1FCA42" w14:textId="77777777" w:rsidR="006A2CD9" w:rsidRDefault="006A2C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86751"/>
    <w:multiLevelType w:val="hybridMultilevel"/>
    <w:tmpl w:val="08F273EC"/>
    <w:lvl w:ilvl="0" w:tplc="BA386E7C">
      <w:start w:val="1"/>
      <w:numFmt w:val="bullet"/>
      <w:lvlText w:val="●"/>
      <w:lvlJc w:val="left"/>
      <w:pPr>
        <w:ind w:left="720" w:hanging="360"/>
      </w:pPr>
    </w:lvl>
    <w:lvl w:ilvl="1" w:tplc="0A1051CC">
      <w:start w:val="1"/>
      <w:numFmt w:val="bullet"/>
      <w:lvlText w:val="○"/>
      <w:lvlJc w:val="left"/>
      <w:pPr>
        <w:ind w:left="1440" w:hanging="360"/>
      </w:pPr>
    </w:lvl>
    <w:lvl w:ilvl="2" w:tplc="6B02915A">
      <w:start w:val="1"/>
      <w:numFmt w:val="bullet"/>
      <w:lvlText w:val="■"/>
      <w:lvlJc w:val="left"/>
      <w:pPr>
        <w:ind w:left="2160" w:hanging="360"/>
      </w:pPr>
    </w:lvl>
    <w:lvl w:ilvl="3" w:tplc="C69620B4">
      <w:start w:val="1"/>
      <w:numFmt w:val="bullet"/>
      <w:lvlText w:val="●"/>
      <w:lvlJc w:val="left"/>
      <w:pPr>
        <w:ind w:left="2880" w:hanging="360"/>
      </w:pPr>
    </w:lvl>
    <w:lvl w:ilvl="4" w:tplc="F70AD9FE">
      <w:start w:val="1"/>
      <w:numFmt w:val="bullet"/>
      <w:lvlText w:val="○"/>
      <w:lvlJc w:val="left"/>
      <w:pPr>
        <w:ind w:left="3600" w:hanging="360"/>
      </w:pPr>
    </w:lvl>
    <w:lvl w:ilvl="5" w:tplc="A22291B4">
      <w:start w:val="1"/>
      <w:numFmt w:val="bullet"/>
      <w:lvlText w:val="■"/>
      <w:lvlJc w:val="left"/>
      <w:pPr>
        <w:ind w:left="4320" w:hanging="360"/>
      </w:pPr>
    </w:lvl>
    <w:lvl w:ilvl="6" w:tplc="53927D72">
      <w:start w:val="1"/>
      <w:numFmt w:val="bullet"/>
      <w:lvlText w:val="●"/>
      <w:lvlJc w:val="left"/>
      <w:pPr>
        <w:ind w:left="5040" w:hanging="360"/>
      </w:pPr>
    </w:lvl>
    <w:lvl w:ilvl="7" w:tplc="E9B08220">
      <w:start w:val="1"/>
      <w:numFmt w:val="bullet"/>
      <w:lvlText w:val="●"/>
      <w:lvlJc w:val="left"/>
      <w:pPr>
        <w:ind w:left="5760" w:hanging="360"/>
      </w:pPr>
    </w:lvl>
    <w:lvl w:ilvl="8" w:tplc="7660E72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BE263EC"/>
    <w:multiLevelType w:val="hybridMultilevel"/>
    <w:tmpl w:val="3D4606CC"/>
    <w:lvl w:ilvl="0" w:tplc="FBE64DD2">
      <w:start w:val="1"/>
      <w:numFmt w:val="bullet"/>
      <w:lvlText w:val="•"/>
      <w:lvlJc w:val="left"/>
      <w:pPr>
        <w:ind w:left="720" w:hanging="360"/>
      </w:pPr>
    </w:lvl>
    <w:lvl w:ilvl="1" w:tplc="0A8C09D2">
      <w:numFmt w:val="decimal"/>
      <w:lvlText w:val=""/>
      <w:lvlJc w:val="left"/>
    </w:lvl>
    <w:lvl w:ilvl="2" w:tplc="1D4A17AA">
      <w:numFmt w:val="decimal"/>
      <w:lvlText w:val=""/>
      <w:lvlJc w:val="left"/>
    </w:lvl>
    <w:lvl w:ilvl="3" w:tplc="4DCA9DE0">
      <w:numFmt w:val="decimal"/>
      <w:lvlText w:val=""/>
      <w:lvlJc w:val="left"/>
    </w:lvl>
    <w:lvl w:ilvl="4" w:tplc="23503ACE">
      <w:numFmt w:val="decimal"/>
      <w:lvlText w:val=""/>
      <w:lvlJc w:val="left"/>
    </w:lvl>
    <w:lvl w:ilvl="5" w:tplc="65E0B98E">
      <w:numFmt w:val="decimal"/>
      <w:lvlText w:val=""/>
      <w:lvlJc w:val="left"/>
    </w:lvl>
    <w:lvl w:ilvl="6" w:tplc="01C078F0">
      <w:numFmt w:val="decimal"/>
      <w:lvlText w:val=""/>
      <w:lvlJc w:val="left"/>
    </w:lvl>
    <w:lvl w:ilvl="7" w:tplc="174073A2">
      <w:numFmt w:val="decimal"/>
      <w:lvlText w:val=""/>
      <w:lvlJc w:val="left"/>
    </w:lvl>
    <w:lvl w:ilvl="8" w:tplc="6DF0EAEA">
      <w:numFmt w:val="decimal"/>
      <w:lvlText w:val=""/>
      <w:lvlJc w:val="left"/>
    </w:lvl>
  </w:abstractNum>
  <w:num w:numId="1" w16cid:durableId="38940673">
    <w:abstractNumId w:val="0"/>
    <w:lvlOverride w:ilvl="0">
      <w:startOverride w:val="1"/>
    </w:lvlOverride>
  </w:num>
  <w:num w:numId="2" w16cid:durableId="57393110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426"/>
    <w:rsid w:val="00542AA6"/>
    <w:rsid w:val="006A2CD9"/>
    <w:rsid w:val="00783C10"/>
    <w:rsid w:val="00E9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79B12"/>
  <w15:docId w15:val="{3AA4A944-5A7B-40BA-9169-979DA007A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spacing w:before="280" w:after="140"/>
      <w:outlineLvl w:val="0"/>
    </w:pPr>
    <w:rPr>
      <w:b/>
      <w:bCs/>
      <w:color w:val="2F5D4F"/>
      <w:sz w:val="28"/>
      <w:szCs w:val="28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pPr>
      <w:spacing w:after="120"/>
    </w:pPr>
    <w:rPr>
      <w:b/>
      <w:bCs/>
      <w:sz w:val="40"/>
      <w:szCs w:val="40"/>
    </w:rPr>
  </w:style>
  <w:style w:type="paragraph" w:customStyle="1" w:styleId="10">
    <w:name w:val="Έντονο1"/>
    <w:qFormat/>
    <w:rPr>
      <w:b/>
      <w:bCs/>
    </w:rPr>
  </w:style>
  <w:style w:type="paragraph" w:styleId="a4">
    <w:name w:val="List Paragraph"/>
    <w:qFormat/>
  </w:style>
  <w:style w:type="character" w:styleId="-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Κείμενο υποσημείωσης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Κείμενο σημείωσης τέλους Char"/>
    <w:link w:val="a8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460</Words>
  <Characters>2485</Characters>
  <Application>Microsoft Office Word</Application>
  <DocSecurity>0</DocSecurity>
  <Lines>20</Lines>
  <Paragraphs>5</Paragraphs>
  <ScaleCrop>false</ScaleCrop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Alexandros Theoharopoulos</cp:lastModifiedBy>
  <cp:revision>2</cp:revision>
  <dcterms:created xsi:type="dcterms:W3CDTF">2026-06-03T12:23:00Z</dcterms:created>
  <dcterms:modified xsi:type="dcterms:W3CDTF">2026-06-03T12:30:00Z</dcterms:modified>
</cp:coreProperties>
</file>